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8A44CB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 Ju</w:t>
      </w:r>
      <w:r w:rsidR="008A44CB">
        <w:rPr>
          <w:rFonts w:cs="Arial"/>
          <w:sz w:val="24"/>
          <w:szCs w:val="24"/>
        </w:rPr>
        <w:t>ly</w:t>
      </w:r>
      <w:r>
        <w:rPr>
          <w:rFonts w:cs="Arial"/>
          <w:sz w:val="24"/>
          <w:szCs w:val="24"/>
        </w:rPr>
        <w:t xml:space="preserve"> 2015</w:t>
      </w: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EA285C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 are hereby summoned to attend a meeting of Havenstreet and Ashey Parish Council, to be held at the Community Centre, Main Road, Havenstreet, on Thursday 2 July 2015 at 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C.Binnie, 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about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Annual Meeting of the Parish Council, and the Annual Parish Meeting, held on </w:t>
      </w:r>
      <w:r w:rsidR="008A44CB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 Ju</w:t>
      </w:r>
      <w:r w:rsidR="008A44CB">
        <w:rPr>
          <w:rFonts w:cs="Arial"/>
          <w:sz w:val="24"/>
          <w:szCs w:val="24"/>
        </w:rPr>
        <w:t>ly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2015.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Councilor’s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Councilor’s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4F3346" w:rsidRDefault="004F3346" w:rsidP="001E74B7">
      <w:pPr>
        <w:pStyle w:val="NoSpacing"/>
        <w:ind w:left="720"/>
        <w:rPr>
          <w:rFonts w:cs="Arial"/>
          <w:sz w:val="24"/>
          <w:szCs w:val="24"/>
        </w:rPr>
      </w:pPr>
    </w:p>
    <w:p w:rsidR="004F3346" w:rsidRDefault="004F3346" w:rsidP="001E74B7">
      <w:pPr>
        <w:pStyle w:val="NoSpacing"/>
        <w:ind w:left="720"/>
        <w:rPr>
          <w:rFonts w:cs="Arial"/>
          <w:sz w:val="24"/>
          <w:szCs w:val="24"/>
        </w:rPr>
      </w:pPr>
    </w:p>
    <w:p w:rsidR="004F3346" w:rsidRDefault="004F3346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following applications: </w:t>
      </w:r>
    </w:p>
    <w:p w:rsidR="001E74B7" w:rsidRDefault="001E74B7" w:rsidP="001E74B7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P/00</w:t>
      </w:r>
      <w:r w:rsidR="00270811">
        <w:rPr>
          <w:rFonts w:cs="Arial"/>
          <w:sz w:val="24"/>
          <w:szCs w:val="24"/>
        </w:rPr>
        <w:t>431</w:t>
      </w:r>
      <w:r>
        <w:rPr>
          <w:rFonts w:cs="Arial"/>
          <w:sz w:val="24"/>
          <w:szCs w:val="24"/>
        </w:rPr>
        <w:t>/15 or TCP/</w:t>
      </w:r>
      <w:r w:rsidR="00270811">
        <w:rPr>
          <w:rFonts w:cs="Arial"/>
          <w:sz w:val="24"/>
          <w:szCs w:val="24"/>
        </w:rPr>
        <w:t>03879/T</w:t>
      </w:r>
    </w:p>
    <w:p w:rsidR="001E74B7" w:rsidRDefault="00270811" w:rsidP="001E74B7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Land off Briddlesford Road, Newport.</w:t>
      </w:r>
    </w:p>
    <w:p w:rsidR="00817BD6" w:rsidRPr="00EA285C" w:rsidRDefault="00270811" w:rsidP="001E74B7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Full planning permission</w:t>
      </w:r>
      <w:r w:rsidR="006A5DA1" w:rsidRPr="00EA285C">
        <w:rPr>
          <w:rFonts w:cs="Arial"/>
          <w:sz w:val="24"/>
          <w:szCs w:val="24"/>
        </w:rPr>
        <w:t xml:space="preserve"> for retention of transfer, processing and management building and change of use of controlled builders waste disposal site to become ancillary to waste management operations to include proposed landscape bund; outline for proposed extension to existing transfer building.</w:t>
      </w:r>
    </w:p>
    <w:p w:rsidR="00817BD6" w:rsidRPr="00EA285C" w:rsidRDefault="00817BD6" w:rsidP="001E74B7">
      <w:pPr>
        <w:pStyle w:val="NoSpacing"/>
        <w:ind w:left="1800"/>
        <w:rPr>
          <w:rFonts w:cs="Arial"/>
          <w:sz w:val="24"/>
          <w:szCs w:val="24"/>
        </w:rPr>
      </w:pPr>
    </w:p>
    <w:p w:rsidR="00817BD6" w:rsidRPr="00EA285C" w:rsidRDefault="00817BD6" w:rsidP="00817BD6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P/00758/15 or LBC/18878/W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Pondcast Farmhouse, Pondcast Lane, Havenstreet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LBC for alterations to fenestration.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</w:p>
    <w:p w:rsidR="00817BD6" w:rsidRPr="00EA285C" w:rsidRDefault="00817BD6" w:rsidP="00817BD6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P/00700/15 or TCP/06884/E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Darric, Main Road, Havenstreet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Retention and completion of single story rear extension to provide lounge and kitchen/dining area.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</w:p>
    <w:p w:rsidR="001E74B7" w:rsidRPr="00EA285C" w:rsidRDefault="00817BD6" w:rsidP="00817BD6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P/00782/15</w:t>
      </w:r>
      <w:r w:rsidR="006A5DA1" w:rsidRPr="00EA285C">
        <w:rPr>
          <w:rFonts w:cs="Arial"/>
          <w:sz w:val="24"/>
          <w:szCs w:val="24"/>
        </w:rPr>
        <w:t xml:space="preserve"> </w:t>
      </w:r>
      <w:r w:rsidRPr="00EA285C">
        <w:rPr>
          <w:rFonts w:cs="Arial"/>
          <w:sz w:val="24"/>
          <w:szCs w:val="24"/>
        </w:rPr>
        <w:t>or TCP/32314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St Huberts, Ashey Road, Ashey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Proposed balcony on rear elevation.</w:t>
      </w:r>
    </w:p>
    <w:p w:rsidR="00EA285C" w:rsidRPr="00EA285C" w:rsidRDefault="00EA285C" w:rsidP="00817BD6">
      <w:pPr>
        <w:pStyle w:val="NoSpacing"/>
        <w:ind w:left="1800"/>
        <w:rPr>
          <w:rFonts w:cs="Arial"/>
          <w:sz w:val="24"/>
          <w:szCs w:val="24"/>
        </w:rPr>
      </w:pPr>
    </w:p>
    <w:p w:rsidR="00EA285C" w:rsidRPr="00EA285C" w:rsidRDefault="00EA285C" w:rsidP="00EA285C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P/00839/15 or TCP/31965/A</w:t>
      </w:r>
    </w:p>
    <w:p w:rsidR="00EA285C" w:rsidRPr="00EA285C" w:rsidRDefault="00EA285C" w:rsidP="00EA285C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Coombley Copse, Downend, Newport</w:t>
      </w:r>
    </w:p>
    <w:p w:rsidR="00EA285C" w:rsidRPr="00EA285C" w:rsidRDefault="00EA285C" w:rsidP="00EA285C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Demolition of dwelling, proposed replacement dwelling (revised scheme).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</w:p>
    <w:p w:rsidR="00817BD6" w:rsidRPr="00EA285C" w:rsidRDefault="00817BD6" w:rsidP="00817BD6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P/00799/15</w:t>
      </w:r>
      <w:r w:rsidR="005B3ABA">
        <w:rPr>
          <w:rFonts w:cs="Arial"/>
          <w:sz w:val="24"/>
          <w:szCs w:val="24"/>
        </w:rPr>
        <w:t xml:space="preserve"> or TCP/06142/G</w:t>
      </w:r>
    </w:p>
    <w:p w:rsidR="00817BD6" w:rsidRPr="00EA285C" w:rsidRDefault="00817BD6" w:rsidP="00817BD6">
      <w:pPr>
        <w:pStyle w:val="NoSpacing"/>
        <w:ind w:left="1800"/>
        <w:rPr>
          <w:rFonts w:cs="Arial"/>
          <w:sz w:val="24"/>
          <w:szCs w:val="24"/>
        </w:rPr>
      </w:pPr>
      <w:r w:rsidRPr="00EA285C">
        <w:rPr>
          <w:rFonts w:cs="Arial"/>
          <w:sz w:val="24"/>
          <w:szCs w:val="24"/>
        </w:rPr>
        <w:t>Coppidhall Farm, Main Road, Havenstreet</w:t>
      </w:r>
    </w:p>
    <w:p w:rsidR="00817BD6" w:rsidRPr="00EA285C" w:rsidRDefault="005B3ABA" w:rsidP="00817BD6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Prior Approval for alterations and conversion of a </w:t>
      </w:r>
      <w:r w:rsidR="00817BD6" w:rsidRPr="00EA285C">
        <w:rPr>
          <w:rFonts w:cs="Arial"/>
          <w:sz w:val="24"/>
          <w:szCs w:val="24"/>
        </w:rPr>
        <w:t xml:space="preserve">barn to </w:t>
      </w:r>
      <w:r>
        <w:rPr>
          <w:rFonts w:cs="Arial"/>
          <w:sz w:val="24"/>
          <w:szCs w:val="24"/>
        </w:rPr>
        <w:t>residential unit</w:t>
      </w:r>
      <w:r w:rsidR="00817BD6" w:rsidRPr="00EA285C">
        <w:rPr>
          <w:rFonts w:cs="Arial"/>
          <w:sz w:val="24"/>
          <w:szCs w:val="24"/>
        </w:rPr>
        <w:t>.</w:t>
      </w:r>
    </w:p>
    <w:p w:rsidR="00D12CBD" w:rsidRPr="00A56F76" w:rsidRDefault="00EA285C" w:rsidP="00817BD6">
      <w:pPr>
        <w:pStyle w:val="NoSpacing"/>
        <w:ind w:left="1800"/>
        <w:rPr>
          <w:rFonts w:cs="Arial"/>
          <w:i/>
          <w:sz w:val="24"/>
          <w:szCs w:val="24"/>
        </w:rPr>
      </w:pPr>
      <w:r w:rsidRPr="00A56F76">
        <w:rPr>
          <w:rFonts w:cs="Arial"/>
          <w:i/>
          <w:sz w:val="24"/>
          <w:szCs w:val="24"/>
        </w:rPr>
        <w:t>(</w:t>
      </w:r>
      <w:r w:rsidR="005B3ABA" w:rsidRPr="00A56F76">
        <w:rPr>
          <w:rFonts w:cs="Arial"/>
          <w:i/>
          <w:sz w:val="24"/>
          <w:szCs w:val="24"/>
        </w:rPr>
        <w:t>Plans for</w:t>
      </w:r>
      <w:r w:rsidRPr="00A56F76">
        <w:rPr>
          <w:rFonts w:cs="Arial"/>
          <w:i/>
          <w:sz w:val="24"/>
          <w:szCs w:val="24"/>
        </w:rPr>
        <w:t xml:space="preserve"> </w:t>
      </w:r>
      <w:r w:rsidR="005B3ABA" w:rsidRPr="00A56F76">
        <w:rPr>
          <w:rFonts w:cs="Arial"/>
          <w:i/>
          <w:sz w:val="24"/>
          <w:szCs w:val="24"/>
        </w:rPr>
        <w:t xml:space="preserve">Prior Approval applications are not available on the </w:t>
      </w:r>
      <w:r w:rsidRPr="00A56F76">
        <w:rPr>
          <w:rFonts w:cs="Arial"/>
          <w:i/>
          <w:sz w:val="24"/>
          <w:szCs w:val="24"/>
        </w:rPr>
        <w:t xml:space="preserve">IOW Council </w:t>
      </w:r>
      <w:r w:rsidR="005B3ABA" w:rsidRPr="00A56F76">
        <w:rPr>
          <w:rFonts w:cs="Arial"/>
          <w:i/>
          <w:sz w:val="24"/>
          <w:szCs w:val="24"/>
        </w:rPr>
        <w:t>website</w:t>
      </w:r>
      <w:r w:rsidRPr="00A56F76">
        <w:rPr>
          <w:rFonts w:cs="Arial"/>
          <w:i/>
          <w:sz w:val="24"/>
          <w:szCs w:val="24"/>
        </w:rPr>
        <w:t>).</w:t>
      </w:r>
    </w:p>
    <w:p w:rsidR="00EA285C" w:rsidRDefault="00EA285C" w:rsidP="00817BD6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Default="00D12CBD" w:rsidP="00D12CBD">
      <w:pPr>
        <w:pStyle w:val="NoSpacing"/>
        <w:ind w:left="1080"/>
        <w:rPr>
          <w:rFonts w:cs="Arial"/>
          <w:sz w:val="24"/>
          <w:szCs w:val="24"/>
        </w:rPr>
      </w:pPr>
    </w:p>
    <w:p w:rsidR="00D12CBD" w:rsidRDefault="00D12CBD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formal notification letter, dated 21 July 2015, from the IOW Council, regarding the appeal against refusal to grant planning permission, at Brickfields, Newnham Road, Ryde.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A285C" w:rsidRDefault="00EA285C" w:rsidP="001E74B7">
      <w:pPr>
        <w:pStyle w:val="NoSpacing"/>
        <w:ind w:left="720"/>
        <w:rPr>
          <w:rFonts w:cs="Arial"/>
          <w:sz w:val="24"/>
          <w:szCs w:val="24"/>
        </w:rPr>
      </w:pPr>
    </w:p>
    <w:p w:rsidR="00EA285C" w:rsidRDefault="00EA285C" w:rsidP="001E74B7">
      <w:pPr>
        <w:pStyle w:val="NoSpacing"/>
        <w:ind w:left="720"/>
        <w:rPr>
          <w:rFonts w:cs="Arial"/>
          <w:sz w:val="24"/>
          <w:szCs w:val="24"/>
        </w:rPr>
      </w:pPr>
    </w:p>
    <w:p w:rsidR="00EA285C" w:rsidRDefault="00EA285C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1E74B7" w:rsidRPr="008A44CB" w:rsidRDefault="001E74B7" w:rsidP="00A56F76">
      <w:pPr>
        <w:pStyle w:val="NoSpacing"/>
        <w:ind w:left="720"/>
        <w:rPr>
          <w:rFonts w:cs="Arial"/>
          <w:sz w:val="24"/>
          <w:szCs w:val="24"/>
        </w:rPr>
      </w:pPr>
      <w:r w:rsidRPr="008A44CB">
        <w:rPr>
          <w:rFonts w:cs="Arial"/>
          <w:sz w:val="24"/>
          <w:szCs w:val="24"/>
        </w:rPr>
        <w:t xml:space="preserve">To receive </w:t>
      </w:r>
      <w:r w:rsidR="008A44CB">
        <w:rPr>
          <w:rFonts w:cs="Arial"/>
          <w:sz w:val="24"/>
          <w:szCs w:val="24"/>
        </w:rPr>
        <w:t xml:space="preserve">any updates regarding the </w:t>
      </w:r>
      <w:r w:rsidRPr="008A44CB">
        <w:rPr>
          <w:rFonts w:cs="Arial"/>
          <w:sz w:val="24"/>
          <w:szCs w:val="24"/>
        </w:rPr>
        <w:t xml:space="preserve">community bus service.  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D12CBD" w:rsidRDefault="00D12CBD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authorise payment of accounts. </w:t>
      </w:r>
    </w:p>
    <w:p w:rsidR="00A56F76" w:rsidRDefault="00A56F76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receipt of £689.28 from Wooton Bridge Parish Council, their half share of the cost of providing drivers for the route 34a community bus, so far incurred.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10 September 2015,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the Community</w:t>
      </w:r>
      <w:r w:rsidR="00A56F76">
        <w:rPr>
          <w:rFonts w:cs="Arial"/>
          <w:sz w:val="24"/>
          <w:szCs w:val="24"/>
        </w:rPr>
        <w:t xml:space="preserve"> Centre, Main Road, Havenstreet (Note: the 2</w:t>
      </w:r>
      <w:r w:rsidR="00A56F76" w:rsidRPr="00A56F76">
        <w:rPr>
          <w:rFonts w:cs="Arial"/>
          <w:sz w:val="24"/>
          <w:szCs w:val="24"/>
          <w:vertAlign w:val="superscript"/>
        </w:rPr>
        <w:t>nd</w:t>
      </w:r>
      <w:r w:rsidR="00A56F76">
        <w:rPr>
          <w:rFonts w:cs="Arial"/>
          <w:sz w:val="24"/>
          <w:szCs w:val="24"/>
        </w:rPr>
        <w:t xml:space="preserve"> Thursday, not the usual 1</w:t>
      </w:r>
      <w:r w:rsidR="00A56F76" w:rsidRPr="00A56F76">
        <w:rPr>
          <w:rFonts w:cs="Arial"/>
          <w:sz w:val="24"/>
          <w:szCs w:val="24"/>
          <w:vertAlign w:val="superscript"/>
        </w:rPr>
        <w:t>st</w:t>
      </w:r>
      <w:r w:rsidR="00A56F76">
        <w:rPr>
          <w:rFonts w:cs="Arial"/>
          <w:sz w:val="24"/>
          <w:szCs w:val="24"/>
        </w:rPr>
        <w:t xml:space="preserve"> Thursday).</w:t>
      </w:r>
      <w:bookmarkStart w:id="0" w:name="_GoBack"/>
      <w:bookmarkEnd w:id="0"/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1C6E85"/>
    <w:rsid w:val="001E74B7"/>
    <w:rsid w:val="00270811"/>
    <w:rsid w:val="00494568"/>
    <w:rsid w:val="004F3346"/>
    <w:rsid w:val="005B3ABA"/>
    <w:rsid w:val="006A5DA1"/>
    <w:rsid w:val="00817BD6"/>
    <w:rsid w:val="008A44CB"/>
    <w:rsid w:val="00A56F76"/>
    <w:rsid w:val="00D12CBD"/>
    <w:rsid w:val="00E633DA"/>
    <w:rsid w:val="00E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6</cp:revision>
  <dcterms:created xsi:type="dcterms:W3CDTF">2015-07-23T07:50:00Z</dcterms:created>
  <dcterms:modified xsi:type="dcterms:W3CDTF">2015-07-24T09:27:00Z</dcterms:modified>
</cp:coreProperties>
</file>